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2195771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עאידה תומא סלימאן</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אחמד טיבי</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C" w14:textId="2F9561BE" w:rsidR="00E13C27" w:rsidRDefault="00904591" w:rsidP="00B86154">
      <w:pPr>
        <w:pStyle w:val="David"/>
        <w:spacing w:before="0" w:line="240" w:lineRule="auto"/>
        <w:ind w:left="3544"/>
        <w:rPr>
          <w:rtl/>
        </w:rPr>
      </w:pPr>
      <w:r>
        <w:t xml:space="preserve">            </w:t>
      </w:r>
      <w:r w:rsidR="00B86154">
        <w:t xml:space="preserve">                         </w:t>
      </w:r>
      <w:r w:rsidR="00340891">
        <w:rPr>
          <w:rtl/>
        </w:rPr>
        <w:tab/>
      </w:r>
      <w:r w:rsidR="00340891">
        <w:rPr>
          <w:rFonts w:hint="cs"/>
          <w:rtl/>
        </w:rPr>
        <w:t>פ/363/25</w:t>
      </w:r>
    </w:p>
    <w:p w14:paraId="61FAD2B6" w14:textId="77777777" w:rsidR="00305D2D" w:rsidRDefault="00305D2D" w:rsidP="0021633A">
      <w:pPr>
        <w:pStyle w:val="HeadHatzaotHok"/>
        <w:rPr>
          <w:rtl/>
        </w:rPr>
      </w:pPr>
      <w:bookmarkStart w:id="6" w:name="LGS_Subject"/>
    </w:p>
    <w:p w14:paraId="7F6961AD" w14:textId="77777777" w:rsidR="00E13C27" w:rsidRDefault="00A443CF" w:rsidP="0021633A">
      <w:pPr>
        <w:pStyle w:val="HeadHatzaotHok"/>
        <w:rPr>
          <w:rtl/>
        </w:rPr>
      </w:pPr>
      <w:r>
        <w:rPr>
          <w:rFonts w:hint="cs"/>
          <w:rtl/>
        </w:rPr>
        <w:t>הצעת חוק הבחירות (דרכי תעמולה) (תיקון – איסור על תעמולה גזענית), התשפ"ג–2022</w:t>
      </w:r>
      <w:bookmarkEnd w:id="6"/>
    </w:p>
    <w:p w14:paraId="6E728C45" w14:textId="77777777" w:rsidR="00305D2D" w:rsidRPr="00F67051" w:rsidRDefault="00305D2D" w:rsidP="0021633A">
      <w:pPr>
        <w:pStyle w:val="HeadHatzaotHok"/>
        <w:rPr>
          <w:rtl/>
        </w:rPr>
      </w:pPr>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1871"/>
        <w:gridCol w:w="624"/>
        <w:gridCol w:w="4648"/>
      </w:tblGrid>
      <w:tr w:rsidR="00B86154" w:rsidRPr="00B54D0E" w14:paraId="2AEE8A99" w14:textId="77777777" w:rsidTr="00964D46">
        <w:trPr>
          <w:cantSplit/>
        </w:trPr>
        <w:tc>
          <w:tcPr>
            <w:tcW w:w="1870" w:type="dxa"/>
          </w:tcPr>
          <w:p w14:paraId="1B9E1F57" w14:textId="10566CBB" w:rsidR="00B86154" w:rsidRPr="00B54D0E" w:rsidRDefault="00B86154" w:rsidP="00305D2D">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snapToGrid w:val="0"/>
                <w:color w:val="auto"/>
                <w:spacing w:val="0"/>
                <w:sz w:val="20"/>
                <w:szCs w:val="26"/>
                <w:lang w:eastAsia="en-US"/>
              </w:rPr>
            </w:pPr>
            <w:r w:rsidRPr="00B54D0E">
              <w:rPr>
                <w:rFonts w:ascii="Arial" w:eastAsia="Arial Unicode MS" w:hAnsi="Arial" w:cs="David"/>
                <w:snapToGrid w:val="0"/>
                <w:color w:val="auto"/>
                <w:spacing w:val="0"/>
                <w:sz w:val="20"/>
                <w:szCs w:val="26"/>
                <w:rtl/>
                <w:lang w:eastAsia="en-US"/>
              </w:rPr>
              <w:t xml:space="preserve">הוספת סעיף </w:t>
            </w:r>
            <w:r w:rsidR="00305D2D">
              <w:rPr>
                <w:rFonts w:ascii="Arial" w:eastAsia="Arial Unicode MS" w:hAnsi="Arial" w:cs="David" w:hint="cs"/>
                <w:snapToGrid w:val="0"/>
                <w:color w:val="auto"/>
                <w:spacing w:val="0"/>
                <w:sz w:val="20"/>
                <w:szCs w:val="26"/>
                <w:rtl/>
                <w:lang w:eastAsia="en-US"/>
              </w:rPr>
              <w:t>2ד</w:t>
            </w:r>
          </w:p>
        </w:tc>
        <w:tc>
          <w:tcPr>
            <w:tcW w:w="624" w:type="dxa"/>
          </w:tcPr>
          <w:p w14:paraId="1C24FBD0" w14:textId="77777777" w:rsidR="00B86154" w:rsidRPr="00B54D0E" w:rsidRDefault="00B86154" w:rsidP="00964D46">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lang w:eastAsia="en-US"/>
              </w:rPr>
            </w:pPr>
            <w:r w:rsidRPr="00B54D0E">
              <w:rPr>
                <w:rFonts w:ascii="Arial" w:eastAsia="Arial Unicode MS" w:hAnsi="Arial" w:cs="David"/>
                <w:snapToGrid w:val="0"/>
                <w:color w:val="auto"/>
                <w:spacing w:val="0"/>
                <w:sz w:val="20"/>
                <w:szCs w:val="26"/>
                <w:rtl/>
                <w:lang w:eastAsia="en-US"/>
              </w:rPr>
              <w:t>1.</w:t>
            </w:r>
          </w:p>
        </w:tc>
        <w:tc>
          <w:tcPr>
            <w:tcW w:w="7143" w:type="dxa"/>
            <w:gridSpan w:val="3"/>
          </w:tcPr>
          <w:p w14:paraId="51DD1EAC" w14:textId="77777777" w:rsidR="00B86154" w:rsidRPr="00B54D0E" w:rsidRDefault="00B86154" w:rsidP="00964D46">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B54D0E">
              <w:rPr>
                <w:rFonts w:ascii="Arial" w:eastAsia="Arial Unicode MS" w:hAnsi="Arial" w:cs="David"/>
                <w:snapToGrid w:val="0"/>
                <w:color w:val="auto"/>
                <w:spacing w:val="0"/>
                <w:sz w:val="20"/>
                <w:szCs w:val="26"/>
                <w:rtl/>
                <w:lang w:eastAsia="en-US"/>
              </w:rPr>
              <w:t>בחוק הבחירות (דרכי תעמולה), התשי"ט</w:t>
            </w:r>
            <w:r w:rsidRPr="00B54D0E">
              <w:rPr>
                <w:rFonts w:ascii="Arial" w:eastAsia="Arial Unicode MS" w:hAnsi="Arial" w:cs="David" w:hint="cs"/>
                <w:snapToGrid w:val="0"/>
                <w:color w:val="auto"/>
                <w:spacing w:val="0"/>
                <w:sz w:val="20"/>
                <w:szCs w:val="26"/>
                <w:rtl/>
                <w:lang w:eastAsia="en-US"/>
              </w:rPr>
              <w:t>–</w:t>
            </w:r>
            <w:r w:rsidRPr="00B54D0E">
              <w:rPr>
                <w:rFonts w:ascii="Arial" w:eastAsia="Arial Unicode MS" w:hAnsi="Arial" w:cs="David"/>
                <w:snapToGrid w:val="0"/>
                <w:color w:val="auto"/>
                <w:spacing w:val="0"/>
                <w:sz w:val="20"/>
                <w:szCs w:val="26"/>
                <w:rtl/>
                <w:lang w:eastAsia="en-US"/>
              </w:rPr>
              <w:t>1959</w:t>
            </w:r>
            <w:r w:rsidRPr="00B54D0E">
              <w:rPr>
                <w:rFonts w:ascii="David" w:eastAsia="Arial Unicode MS" w:hAnsi="David" w:cs="David"/>
                <w:snapToGrid w:val="0"/>
                <w:color w:val="auto"/>
                <w:spacing w:val="0"/>
                <w:sz w:val="26"/>
                <w:szCs w:val="26"/>
                <w:vertAlign w:val="superscript"/>
                <w:rtl/>
                <w:lang w:eastAsia="en-US"/>
              </w:rPr>
              <w:footnoteReference w:id="2"/>
            </w:r>
            <w:r w:rsidRPr="00B54D0E">
              <w:rPr>
                <w:rFonts w:ascii="Arial" w:eastAsia="Arial Unicode MS" w:hAnsi="Arial" w:cs="David"/>
                <w:snapToGrid w:val="0"/>
                <w:color w:val="auto"/>
                <w:spacing w:val="0"/>
                <w:sz w:val="20"/>
                <w:szCs w:val="26"/>
                <w:rtl/>
                <w:lang w:eastAsia="en-US"/>
              </w:rPr>
              <w:t>, אחרי סעיף 2</w:t>
            </w:r>
            <w:r w:rsidRPr="00B54D0E">
              <w:rPr>
                <w:rFonts w:ascii="Arial" w:eastAsia="Arial Unicode MS" w:hAnsi="Arial" w:cs="David" w:hint="cs"/>
                <w:snapToGrid w:val="0"/>
                <w:color w:val="auto"/>
                <w:spacing w:val="0"/>
                <w:sz w:val="20"/>
                <w:szCs w:val="26"/>
                <w:rtl/>
                <w:lang w:eastAsia="en-US"/>
              </w:rPr>
              <w:t>ג</w:t>
            </w:r>
            <w:r w:rsidRPr="00B54D0E">
              <w:rPr>
                <w:rFonts w:ascii="Arial" w:eastAsia="Arial Unicode MS" w:hAnsi="Arial" w:cs="David"/>
                <w:snapToGrid w:val="0"/>
                <w:color w:val="auto"/>
                <w:spacing w:val="0"/>
                <w:sz w:val="20"/>
                <w:szCs w:val="26"/>
                <w:rtl/>
                <w:lang w:eastAsia="en-US"/>
              </w:rPr>
              <w:t xml:space="preserve"> יבוא:  </w:t>
            </w:r>
          </w:p>
        </w:tc>
      </w:tr>
      <w:tr w:rsidR="00B86154" w:rsidRPr="00B54D0E" w14:paraId="7EFF5F27" w14:textId="77777777" w:rsidTr="00964D46">
        <w:trPr>
          <w:cantSplit/>
        </w:trPr>
        <w:tc>
          <w:tcPr>
            <w:tcW w:w="1870" w:type="dxa"/>
          </w:tcPr>
          <w:p w14:paraId="1C47C875" w14:textId="77777777" w:rsidR="00B86154" w:rsidRPr="00B54D0E" w:rsidRDefault="00B86154" w:rsidP="00964D46">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snapToGrid w:val="0"/>
                <w:color w:val="auto"/>
                <w:spacing w:val="0"/>
                <w:sz w:val="20"/>
                <w:szCs w:val="26"/>
                <w:lang w:eastAsia="en-US"/>
              </w:rPr>
            </w:pPr>
          </w:p>
        </w:tc>
        <w:tc>
          <w:tcPr>
            <w:tcW w:w="624" w:type="dxa"/>
          </w:tcPr>
          <w:p w14:paraId="08E1DED0" w14:textId="77777777" w:rsidR="00B86154" w:rsidRPr="00B54D0E" w:rsidRDefault="00B86154" w:rsidP="00964D46">
            <w:pPr>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lang w:eastAsia="en-US"/>
              </w:rPr>
            </w:pPr>
          </w:p>
        </w:tc>
        <w:tc>
          <w:tcPr>
            <w:tcW w:w="1871" w:type="dxa"/>
          </w:tcPr>
          <w:p w14:paraId="5C2D8EC7" w14:textId="77777777" w:rsidR="00B86154" w:rsidRPr="00B54D0E" w:rsidRDefault="00B86154" w:rsidP="00964D46">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snapToGrid w:val="0"/>
                <w:color w:val="auto"/>
                <w:spacing w:val="0"/>
                <w:sz w:val="20"/>
                <w:szCs w:val="26"/>
                <w:lang w:eastAsia="en-US"/>
              </w:rPr>
            </w:pPr>
            <w:r w:rsidRPr="00B54D0E">
              <w:rPr>
                <w:rFonts w:ascii="Arial" w:eastAsia="Arial Unicode MS" w:hAnsi="Arial" w:cs="David" w:hint="cs"/>
                <w:snapToGrid w:val="0"/>
                <w:color w:val="auto"/>
                <w:spacing w:val="0"/>
                <w:sz w:val="20"/>
                <w:szCs w:val="26"/>
                <w:rtl/>
                <w:lang w:eastAsia="en-US"/>
              </w:rPr>
              <w:t>"</w:t>
            </w:r>
            <w:r w:rsidRPr="00B54D0E">
              <w:rPr>
                <w:rFonts w:ascii="Arial" w:eastAsia="Arial Unicode MS" w:hAnsi="Arial" w:cs="David"/>
                <w:snapToGrid w:val="0"/>
                <w:color w:val="auto"/>
                <w:spacing w:val="0"/>
                <w:sz w:val="20"/>
                <w:szCs w:val="26"/>
                <w:rtl/>
                <w:lang w:eastAsia="en-US"/>
              </w:rPr>
              <w:t>איסור על תעמולה גזענית</w:t>
            </w:r>
          </w:p>
        </w:tc>
        <w:tc>
          <w:tcPr>
            <w:tcW w:w="624" w:type="dxa"/>
          </w:tcPr>
          <w:p w14:paraId="5ACB517E" w14:textId="77777777" w:rsidR="00B86154" w:rsidRPr="00B54D0E" w:rsidRDefault="00B86154" w:rsidP="00964D46">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B54D0E">
              <w:rPr>
                <w:rFonts w:ascii="Arial" w:eastAsia="Arial Unicode MS" w:hAnsi="Arial" w:cs="David"/>
                <w:snapToGrid w:val="0"/>
                <w:color w:val="auto"/>
                <w:spacing w:val="0"/>
                <w:sz w:val="20"/>
                <w:szCs w:val="26"/>
                <w:rtl/>
                <w:lang w:eastAsia="en-US"/>
              </w:rPr>
              <w:t>2</w:t>
            </w:r>
            <w:r w:rsidRPr="00B54D0E">
              <w:rPr>
                <w:rFonts w:ascii="Arial" w:eastAsia="Arial Unicode MS" w:hAnsi="Arial" w:cs="David" w:hint="cs"/>
                <w:snapToGrid w:val="0"/>
                <w:color w:val="auto"/>
                <w:spacing w:val="0"/>
                <w:sz w:val="20"/>
                <w:szCs w:val="26"/>
                <w:rtl/>
                <w:lang w:eastAsia="en-US"/>
              </w:rPr>
              <w:t>ד</w:t>
            </w:r>
            <w:r w:rsidRPr="00B54D0E">
              <w:rPr>
                <w:rFonts w:ascii="Arial" w:eastAsia="Arial Unicode MS" w:hAnsi="Arial" w:cs="David"/>
                <w:snapToGrid w:val="0"/>
                <w:color w:val="auto"/>
                <w:spacing w:val="0"/>
                <w:sz w:val="20"/>
                <w:szCs w:val="26"/>
                <w:rtl/>
                <w:lang w:eastAsia="en-US"/>
              </w:rPr>
              <w:t>.</w:t>
            </w:r>
          </w:p>
        </w:tc>
        <w:tc>
          <w:tcPr>
            <w:tcW w:w="4648" w:type="dxa"/>
          </w:tcPr>
          <w:p w14:paraId="45022983" w14:textId="77777777" w:rsidR="00B86154" w:rsidRPr="00B54D0E" w:rsidRDefault="00B86154" w:rsidP="00964D46">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snapToGrid w:val="0"/>
                <w:color w:val="auto"/>
                <w:spacing w:val="0"/>
                <w:sz w:val="20"/>
                <w:szCs w:val="26"/>
                <w:lang w:eastAsia="en-US"/>
              </w:rPr>
            </w:pPr>
            <w:r w:rsidRPr="00B54D0E">
              <w:rPr>
                <w:rFonts w:ascii="Arial" w:eastAsia="Arial Unicode MS" w:hAnsi="Arial" w:cs="David"/>
                <w:snapToGrid w:val="0"/>
                <w:color w:val="auto"/>
                <w:spacing w:val="0"/>
                <w:sz w:val="20"/>
                <w:szCs w:val="26"/>
                <w:rtl/>
                <w:lang w:eastAsia="en-US"/>
              </w:rPr>
              <w:t>תעמולת בחירות לא תכלול תוכן גזעני.</w:t>
            </w:r>
            <w:r w:rsidRPr="00B54D0E">
              <w:rPr>
                <w:rFonts w:ascii="Arial" w:eastAsia="Arial Unicode MS" w:hAnsi="Arial" w:cs="David" w:hint="cs"/>
                <w:snapToGrid w:val="0"/>
                <w:color w:val="auto"/>
                <w:spacing w:val="0"/>
                <w:sz w:val="20"/>
                <w:szCs w:val="26"/>
                <w:rtl/>
                <w:lang w:eastAsia="en-US"/>
              </w:rPr>
              <w:t>"</w:t>
            </w:r>
          </w:p>
        </w:tc>
      </w:tr>
    </w:tbl>
    <w:p w14:paraId="5BED712C" w14:textId="77777777" w:rsidR="00B86154" w:rsidRPr="00B54D0E" w:rsidRDefault="00B86154" w:rsidP="00340891">
      <w:pPr>
        <w:pStyle w:val="HeadDivreiHesber"/>
        <w:rPr>
          <w:rtl/>
          <w:lang w:eastAsia="en-US"/>
        </w:rPr>
      </w:pPr>
      <w:r w:rsidRPr="00B54D0E">
        <w:rPr>
          <w:rFonts w:hint="cs"/>
          <w:rtl/>
          <w:lang w:eastAsia="en-US"/>
        </w:rPr>
        <w:t>דברי הסבר</w:t>
      </w:r>
    </w:p>
    <w:p w14:paraId="3F1B9A2C" w14:textId="77777777" w:rsidR="00B86154" w:rsidRPr="007C1C52" w:rsidRDefault="00B86154" w:rsidP="007C1C52">
      <w:pPr>
        <w:pStyle w:val="Hesber"/>
        <w:rPr>
          <w:rtl/>
        </w:rPr>
      </w:pPr>
      <w:r w:rsidRPr="007C1C52">
        <w:rPr>
          <w:rFonts w:hint="cs"/>
          <w:rtl/>
        </w:rPr>
        <w:t>מטרתה של הצעת החוק לקבוע כי בתקופת הבחירות, תיאסר תעמולה גזענית, בכל אופן ובכל אמצעי שהוא, הן בבחירות לכנסת והן בבחירות לרשויות המקומיות ולמועצות האזוריות.</w:t>
      </w:r>
    </w:p>
    <w:p w14:paraId="20F6671F" w14:textId="77777777" w:rsidR="00B86154" w:rsidRPr="007C1C52" w:rsidRDefault="00B86154" w:rsidP="007C1C52">
      <w:pPr>
        <w:pStyle w:val="Hesber"/>
        <w:rPr>
          <w:rtl/>
        </w:rPr>
      </w:pPr>
      <w:r w:rsidRPr="007C1C52">
        <w:rPr>
          <w:rFonts w:hint="cs"/>
          <w:rtl/>
        </w:rPr>
        <w:t>המשנה לנשיאת בית המשפט העליון, כב' השופט חנן מלצר, שהיה גם יושב ראש ועדת הבחירות המרכזית, אף התייחס לנושא באחת מהחלטותיו בנושא זה בכתבו:</w:t>
      </w:r>
    </w:p>
    <w:p w14:paraId="27DEE1A3" w14:textId="77777777" w:rsidR="00B86154" w:rsidRPr="007C1C52" w:rsidRDefault="00B86154" w:rsidP="007C1C52">
      <w:pPr>
        <w:pStyle w:val="Hesber"/>
        <w:rPr>
          <w:rtl/>
        </w:rPr>
      </w:pPr>
      <w:r w:rsidRPr="007C1C52">
        <w:rPr>
          <w:rFonts w:hint="cs"/>
          <w:rtl/>
        </w:rPr>
        <w:t xml:space="preserve">"...לשיטתי תעמולת בחירות הכוללת ביטויים גזעניים, במפורש או במשתמע, המבקשים לייחס תכונות שליליות לאדם מחמת מוצאו, גזעו, צבע עורו, דתו, הלאום שלו, מינו, נטייתו המינית, השקפתו, גילו, מעמדו האישי או השתייכותו לקבוצת מיעוט כלשהי </w:t>
      </w:r>
      <w:r w:rsidRPr="007C1C52">
        <w:rPr>
          <w:rtl/>
        </w:rPr>
        <w:t>–</w:t>
      </w:r>
      <w:r w:rsidRPr="007C1C52">
        <w:rPr>
          <w:rFonts w:hint="cs"/>
          <w:rtl/>
        </w:rPr>
        <w:t xml:space="preserve"> איננה יכולה לדור בכפיפה אחת עם עקרונות הדמוקרטיה והשוויון. לא בכדי קבע המחוקק כי מי שמטרתו או מעשיו מסיתים לגזענות מנוע מהתמודד לכנסת..." (תר"מ 154/21 </w:t>
      </w:r>
      <w:r w:rsidRPr="007C1C52">
        <w:rPr>
          <w:rFonts w:hint="eastAsia"/>
          <w:rtl/>
        </w:rPr>
        <w:t>המטה</w:t>
      </w:r>
      <w:r w:rsidRPr="007C1C52">
        <w:rPr>
          <w:rtl/>
        </w:rPr>
        <w:t xml:space="preserve"> </w:t>
      </w:r>
      <w:r w:rsidRPr="007C1C52">
        <w:rPr>
          <w:rFonts w:hint="eastAsia"/>
          <w:rtl/>
        </w:rPr>
        <w:t>למאבק</w:t>
      </w:r>
      <w:r w:rsidRPr="007C1C52">
        <w:rPr>
          <w:rtl/>
        </w:rPr>
        <w:t xml:space="preserve"> </w:t>
      </w:r>
      <w:r w:rsidRPr="007C1C52">
        <w:rPr>
          <w:rFonts w:hint="eastAsia"/>
          <w:rtl/>
        </w:rPr>
        <w:t>בגזענות</w:t>
      </w:r>
      <w:r w:rsidRPr="007C1C52">
        <w:rPr>
          <w:rtl/>
        </w:rPr>
        <w:t xml:space="preserve"> </w:t>
      </w:r>
      <w:r w:rsidRPr="007C1C52">
        <w:rPr>
          <w:rFonts w:hint="eastAsia"/>
          <w:rtl/>
        </w:rPr>
        <w:t>בישראל</w:t>
      </w:r>
      <w:r w:rsidRPr="007C1C52">
        <w:rPr>
          <w:rtl/>
        </w:rPr>
        <w:t xml:space="preserve"> </w:t>
      </w:r>
      <w:r w:rsidRPr="007C1C52">
        <w:rPr>
          <w:rFonts w:hint="eastAsia"/>
          <w:rtl/>
        </w:rPr>
        <w:t>נ</w:t>
      </w:r>
      <w:r w:rsidRPr="007C1C52">
        <w:rPr>
          <w:rtl/>
        </w:rPr>
        <w:t xml:space="preserve">' </w:t>
      </w:r>
      <w:r w:rsidRPr="007C1C52">
        <w:rPr>
          <w:rFonts w:hint="eastAsia"/>
          <w:rtl/>
        </w:rPr>
        <w:t>רשימת</w:t>
      </w:r>
      <w:r w:rsidRPr="007C1C52">
        <w:rPr>
          <w:rtl/>
        </w:rPr>
        <w:t xml:space="preserve"> </w:t>
      </w:r>
      <w:r w:rsidRPr="007C1C52">
        <w:rPr>
          <w:rFonts w:hint="eastAsia"/>
          <w:rtl/>
        </w:rPr>
        <w:t>הבית</w:t>
      </w:r>
      <w:r w:rsidRPr="007C1C52">
        <w:rPr>
          <w:rtl/>
        </w:rPr>
        <w:t xml:space="preserve"> </w:t>
      </w:r>
      <w:r w:rsidRPr="007C1C52">
        <w:rPr>
          <w:rFonts w:hint="eastAsia"/>
          <w:rtl/>
        </w:rPr>
        <w:t>היהודי</w:t>
      </w:r>
      <w:r w:rsidRPr="007C1C52">
        <w:rPr>
          <w:rtl/>
        </w:rPr>
        <w:t xml:space="preserve"> </w:t>
      </w:r>
      <w:r w:rsidRPr="007C1C52">
        <w:rPr>
          <w:rFonts w:hint="eastAsia"/>
          <w:rtl/>
        </w:rPr>
        <w:t>ברמלה</w:t>
      </w:r>
      <w:r w:rsidRPr="007C1C52">
        <w:rPr>
          <w:rFonts w:hint="cs"/>
          <w:rtl/>
        </w:rPr>
        <w:t xml:space="preserve"> </w:t>
      </w:r>
      <w:r w:rsidRPr="007C1C52">
        <w:rPr>
          <w:rtl/>
        </w:rPr>
        <w:t>2</w:t>
      </w:r>
      <w:r w:rsidRPr="007C1C52">
        <w:rPr>
          <w:rFonts w:hint="cs"/>
          <w:rtl/>
        </w:rPr>
        <w:t xml:space="preserve"> (28.10.2018)).</w:t>
      </w:r>
    </w:p>
    <w:p w14:paraId="2C82E7BC" w14:textId="77777777" w:rsidR="00B86154" w:rsidRPr="007C1C52" w:rsidRDefault="00B86154" w:rsidP="007C1C52">
      <w:pPr>
        <w:pStyle w:val="Hesber"/>
        <w:rPr>
          <w:rtl/>
        </w:rPr>
      </w:pPr>
      <w:r w:rsidRPr="007C1C52">
        <w:rPr>
          <w:rFonts w:hint="cs"/>
          <w:rtl/>
        </w:rPr>
        <w:t>גם הוועדה הציבורית לבחינת חוק הבחירות (דרכי תעמולה), בראשות נשיאת בית המשפט העליון (בדימוס), דורית ביניש, המליצה בשנת 2017 לאסור על תעמולה גזענית, בכתבה:</w:t>
      </w:r>
    </w:p>
    <w:p w14:paraId="3500CFA5" w14:textId="3C7B51B8" w:rsidR="00B86154" w:rsidRPr="007C1C52" w:rsidRDefault="00B86154" w:rsidP="007C1C52">
      <w:pPr>
        <w:pStyle w:val="Hesber"/>
        <w:rPr>
          <w:rtl/>
        </w:rPr>
      </w:pPr>
      <w:r w:rsidRPr="007C1C52">
        <w:rPr>
          <w:rFonts w:hint="cs"/>
          <w:rtl/>
        </w:rPr>
        <w:t xml:space="preserve">"בכל הקשור לביטוי גזעני או מסית לאלימות סבורה הוועדה כי יש לקבוע מגבלה ברורה וחדה. תוכן גזעני או תוכן שמסית לאלימות אין לו מקום בחברה דמוקרטית. הוא פוגע בכבוד האדם ובעקרונות </w:t>
      </w:r>
      <w:r w:rsidRPr="007C1C52">
        <w:rPr>
          <w:rFonts w:hint="cs"/>
          <w:rtl/>
        </w:rPr>
        <w:lastRenderedPageBreak/>
        <w:t>היסוד עליהם מבוססת השיטה הדמוקרטית. תוכן כזה עלול לפגוע אף בטוהר הבחירות בכך שיכול ליצור אווירת לחץ קבוצתי הפוגעת בחופש הבחירה של היחיד מצד אחד, ועלול לגרום לאפקט מצ</w:t>
      </w:r>
      <w:r w:rsidR="00305D2D">
        <w:rPr>
          <w:rFonts w:hint="cs"/>
          <w:rtl/>
        </w:rPr>
        <w:t>נן לקהלים שכנגדם מסיתים מצד שני</w:t>
      </w:r>
      <w:r w:rsidRPr="007C1C52">
        <w:rPr>
          <w:rFonts w:hint="cs"/>
          <w:rtl/>
        </w:rPr>
        <w:t xml:space="preserve"> (הוועדה הציבורית לבחינת חוק הבחירות (דרכי תעמולה) </w:t>
      </w:r>
      <w:r w:rsidRPr="007C1C52">
        <w:rPr>
          <w:rFonts w:hint="eastAsia"/>
          <w:rtl/>
        </w:rPr>
        <w:t>דו</w:t>
      </w:r>
      <w:r w:rsidRPr="007C1C52">
        <w:rPr>
          <w:rtl/>
        </w:rPr>
        <w:t xml:space="preserve">"ח </w:t>
      </w:r>
      <w:r w:rsidRPr="007C1C52">
        <w:rPr>
          <w:rFonts w:hint="eastAsia"/>
          <w:rtl/>
        </w:rPr>
        <w:t>הוועדה</w:t>
      </w:r>
      <w:r w:rsidRPr="007C1C52">
        <w:rPr>
          <w:rFonts w:hint="cs"/>
          <w:rtl/>
        </w:rPr>
        <w:t xml:space="preserve"> 23 (2017)).</w:t>
      </w:r>
    </w:p>
    <w:p w14:paraId="7B2AB731" w14:textId="2E82AFE8" w:rsidR="00B86154" w:rsidRPr="007C1C52" w:rsidRDefault="00B86154" w:rsidP="007C1C52">
      <w:pPr>
        <w:pStyle w:val="Hesber"/>
        <w:rPr>
          <w:rtl/>
        </w:rPr>
      </w:pPr>
      <w:r w:rsidRPr="007C1C52">
        <w:rPr>
          <w:rFonts w:hint="cs"/>
          <w:rtl/>
        </w:rPr>
        <w:t>קביעת האיסור בחוק דרכי תעמולה, כאמור, תאפשר גם ליושב ראש ועדת הבחירות המרכזית לתת צו האוסר על קמפיין גזעני ולהורות על הסרתו לפי סעיף 17ב לחוק, אשר מסמיך את יושב ראש ועדת הבחירות המרכזית לתת צו המונע ביצוע מעשה עבירה לפי החוק.</w:t>
      </w:r>
    </w:p>
    <w:p w14:paraId="30C2D33B" w14:textId="5F519857" w:rsidR="00B86154" w:rsidRDefault="00340891" w:rsidP="007C1C52">
      <w:pPr>
        <w:pStyle w:val="Hesber"/>
        <w:rPr>
          <w:rtl/>
        </w:rPr>
      </w:pPr>
      <w:r>
        <w:rPr>
          <w:rFonts w:hint="cs"/>
          <w:rtl/>
        </w:rPr>
        <w:t xml:space="preserve">הצעות חוק זהות הונחו </w:t>
      </w:r>
      <w:r w:rsidR="00B86154" w:rsidRPr="007C1C52">
        <w:rPr>
          <w:rFonts w:hint="cs"/>
          <w:rtl/>
        </w:rPr>
        <w:t xml:space="preserve">על שולחן הכנסת העשרים </w:t>
      </w:r>
      <w:r w:rsidR="007C1C52">
        <w:rPr>
          <w:rFonts w:hint="cs"/>
          <w:rtl/>
        </w:rPr>
        <w:t>וארבע על ידי חברת הכנסת עאידה תומא סלימאן (פ/1717/24) ועל ידי חברת הכנסת אימאן ח'טיב יאסין וקבוצת חברי הכנסת</w:t>
      </w:r>
      <w:r w:rsidR="00B86154" w:rsidRPr="007C1C52">
        <w:rPr>
          <w:rFonts w:hint="cs"/>
          <w:rtl/>
        </w:rPr>
        <w:t xml:space="preserve"> (פ/</w:t>
      </w:r>
      <w:r w:rsidR="007C1C52">
        <w:rPr>
          <w:rFonts w:hint="cs"/>
          <w:rtl/>
        </w:rPr>
        <w:t>4050</w:t>
      </w:r>
      <w:r w:rsidR="00B86154" w:rsidRPr="007C1C52">
        <w:rPr>
          <w:rFonts w:hint="cs"/>
          <w:rtl/>
        </w:rPr>
        <w:t>/2</w:t>
      </w:r>
      <w:r w:rsidR="007C1C52">
        <w:rPr>
          <w:rFonts w:hint="cs"/>
          <w:rtl/>
        </w:rPr>
        <w:t>4</w:t>
      </w:r>
      <w:r w:rsidR="00B86154" w:rsidRPr="007C1C52">
        <w:rPr>
          <w:rFonts w:hint="cs"/>
          <w:rtl/>
        </w:rPr>
        <w:t>).</w:t>
      </w:r>
    </w:p>
    <w:p w14:paraId="7F6961CB" w14:textId="171A5E01" w:rsidR="00E13C27" w:rsidRDefault="007C1C52" w:rsidP="00340891">
      <w:pPr>
        <w:pStyle w:val="Hesber"/>
        <w:rPr>
          <w:rtl/>
        </w:rPr>
      </w:pPr>
      <w:r>
        <w:rPr>
          <w:rFonts w:hint="cs"/>
          <w:rtl/>
        </w:rPr>
        <w:t>הצעת החוק זהה לפ/4050/24 ולפיכך לא נבדקה על ידי הלשכה המשפטית של הכנסת.</w:t>
      </w:r>
    </w:p>
    <w:p w14:paraId="69951724" w14:textId="20373DC4" w:rsidR="00340891" w:rsidRDefault="00340891" w:rsidP="00340891">
      <w:pPr>
        <w:pStyle w:val="Hesber"/>
        <w:rPr>
          <w:rtl/>
        </w:rPr>
      </w:pPr>
    </w:p>
    <w:p w14:paraId="02495083" w14:textId="62DC4438" w:rsidR="00340891" w:rsidRDefault="00340891" w:rsidP="00340891">
      <w:pPr>
        <w:pStyle w:val="Hesber"/>
        <w:rPr>
          <w:rtl/>
        </w:rPr>
      </w:pPr>
    </w:p>
    <w:p w14:paraId="3731F64E" w14:textId="77777777" w:rsidR="00340891" w:rsidRPr="00B86154" w:rsidRDefault="00340891" w:rsidP="00340891">
      <w:pPr>
        <w:pStyle w:val="Hesber"/>
        <w:rPr>
          <w:rtl/>
        </w:rPr>
      </w:pPr>
    </w:p>
    <w:p w14:paraId="60488E07" w14:textId="77777777" w:rsidR="00B25283" w:rsidRDefault="00305D2D">
      <w:pPr>
        <w:spacing w:before="0" w:line="360" w:lineRule="auto"/>
        <w:jc w:val="left"/>
      </w:pPr>
      <w:bookmarkStart w:id="7" w:name="selectedDocDateB"/>
      <w:bookmarkEnd w:id="7"/>
      <w:r>
        <w:rPr>
          <w:rFonts w:ascii="David" w:eastAsia="David" w:hAnsi="David" w:cs="David" w:hint="cs"/>
          <w:sz w:val="26"/>
          <w:szCs w:val="26"/>
          <w:rtl/>
        </w:rPr>
        <w:t>--------------------------------</w:t>
      </w:r>
    </w:p>
    <w:p w14:paraId="5A7D8080" w14:textId="77777777" w:rsidR="00B25283" w:rsidRDefault="00305D2D">
      <w:pPr>
        <w:spacing w:before="0" w:line="360" w:lineRule="auto"/>
        <w:jc w:val="left"/>
      </w:pPr>
      <w:r>
        <w:rPr>
          <w:rFonts w:ascii="David" w:eastAsia="David" w:hAnsi="David" w:cs="David" w:hint="cs"/>
          <w:sz w:val="26"/>
          <w:szCs w:val="26"/>
          <w:rtl/>
        </w:rPr>
        <w:t>הוגשה ליו"ר הכנסת והסגנים</w:t>
      </w:r>
    </w:p>
    <w:p w14:paraId="1BB7A62A" w14:textId="77777777" w:rsidR="00B25283" w:rsidRDefault="00305D2D">
      <w:pPr>
        <w:spacing w:before="0" w:line="360" w:lineRule="auto"/>
        <w:jc w:val="left"/>
      </w:pPr>
      <w:r>
        <w:rPr>
          <w:rFonts w:ascii="David" w:eastAsia="David" w:hAnsi="David" w:cs="David" w:hint="cs"/>
          <w:sz w:val="26"/>
          <w:szCs w:val="26"/>
          <w:rtl/>
        </w:rPr>
        <w:t>והונחה על שולחן הכנסת ביום</w:t>
      </w:r>
    </w:p>
    <w:p w14:paraId="41BF3B09" w14:textId="18A73241" w:rsidR="00B25283" w:rsidRDefault="00305D2D" w:rsidP="00305D2D">
      <w:pPr>
        <w:spacing w:before="0" w:line="360" w:lineRule="auto"/>
        <w:jc w:val="left"/>
      </w:pPr>
      <w:r>
        <w:rPr>
          <w:rFonts w:ascii="David" w:eastAsia="David" w:hAnsi="David" w:cs="David" w:hint="cs"/>
          <w:sz w:val="26"/>
          <w:szCs w:val="26"/>
          <w:rtl/>
        </w:rPr>
        <w:t>כ"ה בכסלו התשפ"ג (19.12.2022)</w:t>
      </w:r>
      <w:bookmarkStart w:id="8" w:name="_GoBack"/>
      <w:bookmarkEnd w:id="8"/>
    </w:p>
    <w:sectPr w:rsidR="00B25283"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693AF351"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05D2D">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D2E3ECC" w14:textId="77777777" w:rsidR="00B86154" w:rsidRDefault="00B86154" w:rsidP="00B86154">
      <w:pPr>
        <w:pStyle w:val="a4"/>
      </w:pPr>
      <w:r>
        <w:rPr>
          <w:rStyle w:val="a6"/>
        </w:rPr>
        <w:footnoteRef/>
      </w:r>
      <w:r>
        <w:rPr>
          <w:rtl/>
        </w:rPr>
        <w:t xml:space="preserve"> </w:t>
      </w:r>
      <w:r>
        <w:rPr>
          <w:rFonts w:hint="cs"/>
          <w:rtl/>
        </w:rPr>
        <w:t>ס"ח התשי"ט, עמ' 138.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05D2D"/>
    <w:rsid w:val="003232A2"/>
    <w:rsid w:val="00325C14"/>
    <w:rsid w:val="00340891"/>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1C52"/>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25283"/>
    <w:rsid w:val="00B35784"/>
    <w:rsid w:val="00B733A7"/>
    <w:rsid w:val="00B75C91"/>
    <w:rsid w:val="00B86154"/>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12B4ED72-D816-42D7-8F7F-26679FD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B86154"/>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1E70A-72F5-486D-A059-E3A0B666A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schemas.openxmlformats.org/package/2006/metadata/core-properties"/>
    <ds:schemaRef ds:uri="http://purl.org/dc/elements/1.1/"/>
    <ds:schemaRef ds:uri="http://purl.org/dc/terms/"/>
    <ds:schemaRef ds:uri="http://www.w3.org/XML/1998/namespace"/>
    <ds:schemaRef ds:uri="http://purl.org/dc/dcmitype/"/>
    <ds:schemaRef ds:uri="290d5b49-c690-4c6f-bbb9-1e50dab33eee"/>
    <ds:schemaRef ds:uri="http://schemas.microsoft.com/office/2006/metadata/properties"/>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EBD28EF3-A7DD-473D-A599-63EB3378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402</Words>
  <Characters>2013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7</cp:revision>
  <cp:lastPrinted>2022-12-12T12:39:00Z</cp:lastPrinted>
  <dcterms:created xsi:type="dcterms:W3CDTF">2015-04-20T09:58:00Z</dcterms:created>
  <dcterms:modified xsi:type="dcterms:W3CDTF">2022-12-12T12:40:00Z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2195771</vt:r8>
  </property>
</Properties>
</file>